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A9" w:rsidRDefault="003A3CA9" w:rsidP="003A3CA9">
      <w:pPr>
        <w:pStyle w:val="p2"/>
        <w:shd w:val="clear" w:color="auto" w:fill="FFFFFF"/>
        <w:spacing w:before="0" w:beforeAutospacing="0" w:after="0" w:afterAutospacing="0"/>
        <w:rPr>
          <w:rStyle w:val="s2"/>
          <w:b/>
          <w:bCs/>
          <w:color w:val="000000"/>
        </w:rPr>
      </w:pPr>
      <w:r w:rsidRPr="003A3CA9">
        <w:rPr>
          <w:rStyle w:val="s2"/>
          <w:b/>
          <w:bCs/>
          <w:color w:val="000000"/>
        </w:rPr>
        <w:t>Образовательный минимум</w:t>
      </w:r>
      <w:r>
        <w:rPr>
          <w:rStyle w:val="s2"/>
          <w:b/>
          <w:bCs/>
          <w:color w:val="000000"/>
        </w:rPr>
        <w:t xml:space="preserve">           </w:t>
      </w:r>
    </w:p>
    <w:p w:rsidR="003A3CA9" w:rsidRPr="003A3CA9" w:rsidRDefault="003A3CA9" w:rsidP="003A3CA9">
      <w:pPr>
        <w:pStyle w:val="p2"/>
        <w:shd w:val="clear" w:color="auto" w:fill="FFFFFF"/>
        <w:spacing w:before="0" w:beforeAutospacing="0" w:after="0" w:afterAutospacing="0"/>
        <w:rPr>
          <w:rStyle w:val="s2"/>
          <w:b/>
          <w:bCs/>
          <w:color w:val="000000"/>
        </w:rPr>
      </w:pPr>
      <w:r>
        <w:rPr>
          <w:rStyle w:val="s2"/>
          <w:b/>
          <w:bCs/>
          <w:color w:val="000000"/>
        </w:rPr>
        <w:t xml:space="preserve">  </w:t>
      </w:r>
    </w:p>
    <w:tbl>
      <w:tblPr>
        <w:tblW w:w="4680" w:type="dxa"/>
        <w:jc w:val="righ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4"/>
        <w:gridCol w:w="2506"/>
      </w:tblGrid>
      <w:tr w:rsidR="003A3CA9" w:rsidRPr="0078450B" w:rsidTr="003A3CA9">
        <w:trPr>
          <w:trHeight w:val="105"/>
          <w:tblCellSpacing w:w="0" w:type="dxa"/>
          <w:jc w:val="right"/>
        </w:trPr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A3CA9" w:rsidRPr="0078450B" w:rsidTr="003A3CA9">
        <w:trPr>
          <w:trHeight w:val="135"/>
          <w:tblCellSpacing w:w="0" w:type="dxa"/>
          <w:jc w:val="right"/>
        </w:trPr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3A3CA9" w:rsidRPr="0078450B" w:rsidTr="003A3CA9">
        <w:trPr>
          <w:trHeight w:val="135"/>
          <w:tblCellSpacing w:w="0" w:type="dxa"/>
          <w:jc w:val="right"/>
        </w:trPr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CA9" w:rsidRPr="0078450B" w:rsidRDefault="003A3CA9" w:rsidP="00711A53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 w:rsidR="000A208B" w:rsidRPr="003A3CA9" w:rsidRDefault="000A208B" w:rsidP="003A3CA9">
      <w:pPr>
        <w:pStyle w:val="p2"/>
        <w:shd w:val="clear" w:color="auto" w:fill="FFFFFF"/>
        <w:spacing w:before="0" w:beforeAutospacing="0" w:after="0" w:afterAutospacing="0"/>
        <w:jc w:val="right"/>
        <w:rPr>
          <w:rStyle w:val="s2"/>
          <w:b/>
          <w:bCs/>
          <w:color w:val="000000"/>
        </w:rPr>
      </w:pPr>
    </w:p>
    <w:p w:rsidR="000A208B" w:rsidRDefault="000A208B" w:rsidP="000A208B">
      <w:pPr>
        <w:pStyle w:val="p2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u w:val="single"/>
        </w:rPr>
      </w:pPr>
    </w:p>
    <w:p w:rsidR="00323BE1" w:rsidRDefault="00323BE1" w:rsidP="000A208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b/>
          <w:bCs/>
          <w:color w:val="000000"/>
          <w:u w:val="single"/>
        </w:rPr>
        <w:t xml:space="preserve">Тема №1. Знаки препинания при однородных членах предложения </w:t>
      </w:r>
      <w:r w:rsidR="00C6488F">
        <w:rPr>
          <w:rStyle w:val="s2"/>
          <w:b/>
          <w:bCs/>
          <w:color w:val="000000"/>
          <w:u w:val="single"/>
        </w:rPr>
        <w:t>(7.2)</w:t>
      </w:r>
    </w:p>
    <w:p w:rsidR="000A208B" w:rsidRDefault="000A208B" w:rsidP="003A3CA9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>
        <w:rPr>
          <w:rStyle w:val="s1"/>
          <w:b/>
          <w:bCs/>
          <w:color w:val="000000"/>
        </w:rPr>
        <w:t>. Однородные члены предложения разделяются запятой, если</w:t>
      </w:r>
    </w:p>
    <w:p w:rsidR="00323BE1" w:rsidRDefault="00323BE1" w:rsidP="003A3CA9">
      <w:pPr>
        <w:pStyle w:val="p5"/>
        <w:shd w:val="clear" w:color="auto" w:fill="FFFFFF"/>
        <w:spacing w:before="0" w:beforeAutospacing="0" w:after="0" w:afterAutospacing="0"/>
        <w:ind w:left="1080"/>
        <w:jc w:val="both"/>
        <w:rPr>
          <w:color w:val="000000"/>
        </w:rPr>
      </w:pPr>
      <w:r>
        <w:rPr>
          <w:color w:val="000000"/>
        </w:rPr>
        <w:t>- соединены бессоюзной связью</w:t>
      </w:r>
    </w:p>
    <w:p w:rsidR="00323BE1" w:rsidRDefault="00323BE1" w:rsidP="003A3CA9">
      <w:pPr>
        <w:pStyle w:val="p5"/>
        <w:shd w:val="clear" w:color="auto" w:fill="FFFFFF"/>
        <w:spacing w:before="0" w:beforeAutospacing="0" w:after="0" w:afterAutospacing="0"/>
        <w:ind w:left="1080"/>
        <w:jc w:val="both"/>
        <w:rPr>
          <w:color w:val="000000"/>
        </w:rPr>
      </w:pPr>
      <w:r>
        <w:rPr>
          <w:color w:val="000000"/>
        </w:rPr>
        <w:t>- соединены повторяющимися союзами</w:t>
      </w:r>
    </w:p>
    <w:p w:rsidR="00323BE1" w:rsidRDefault="00323BE1" w:rsidP="003A3CA9">
      <w:pPr>
        <w:pStyle w:val="p5"/>
        <w:shd w:val="clear" w:color="auto" w:fill="FFFFFF"/>
        <w:spacing w:before="0" w:beforeAutospacing="0" w:after="0" w:afterAutospacing="0"/>
        <w:ind w:left="1080"/>
        <w:jc w:val="both"/>
        <w:rPr>
          <w:color w:val="000000"/>
        </w:rPr>
      </w:pPr>
      <w:r>
        <w:rPr>
          <w:color w:val="000000"/>
        </w:rPr>
        <w:t>- соединены противительными союзами</w:t>
      </w:r>
    </w:p>
    <w:p w:rsidR="00323BE1" w:rsidRDefault="00323BE1" w:rsidP="003A3CA9">
      <w:pPr>
        <w:pStyle w:val="p5"/>
        <w:shd w:val="clear" w:color="auto" w:fill="FFFFFF"/>
        <w:spacing w:before="0" w:beforeAutospacing="0" w:after="0" w:afterAutospacing="0"/>
        <w:ind w:left="1080"/>
        <w:jc w:val="both"/>
        <w:rPr>
          <w:color w:val="000000"/>
        </w:rPr>
      </w:pPr>
      <w:r>
        <w:rPr>
          <w:color w:val="000000"/>
        </w:rPr>
        <w:t>- перед второй частью сложного союза</w:t>
      </w:r>
    </w:p>
    <w:p w:rsidR="00323BE1" w:rsidRDefault="00323BE1" w:rsidP="003A3CA9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Однородные члены предложения не разделяются запятой, если</w:t>
      </w:r>
    </w:p>
    <w:p w:rsidR="00323BE1" w:rsidRDefault="00323BE1" w:rsidP="003A3CA9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соединены одиночными союзами И, ИЛИ, ЛИБО</w:t>
      </w:r>
    </w:p>
    <w:p w:rsidR="00323BE1" w:rsidRDefault="00323BE1" w:rsidP="003A3CA9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 устойчивых выражениях</w:t>
      </w:r>
    </w:p>
    <w:p w:rsidR="00323BE1" w:rsidRDefault="00323BE1" w:rsidP="003A3CA9">
      <w:pPr>
        <w:pStyle w:val="p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внутри пар однородных членов</w:t>
      </w:r>
    </w:p>
    <w:p w:rsidR="000A208B" w:rsidRDefault="000A208B" w:rsidP="003A3CA9">
      <w:pPr>
        <w:pStyle w:val="p2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u w:val="single"/>
        </w:rPr>
      </w:pPr>
    </w:p>
    <w:p w:rsidR="000A208B" w:rsidRDefault="000A208B" w:rsidP="003A3CA9">
      <w:pPr>
        <w:pStyle w:val="p2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u w:val="single"/>
        </w:rPr>
      </w:pPr>
    </w:p>
    <w:p w:rsidR="00323BE1" w:rsidRDefault="00323BE1" w:rsidP="003A3CA9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b/>
          <w:bCs/>
          <w:color w:val="000000"/>
          <w:u w:val="single"/>
        </w:rPr>
        <w:t>Тема №2. Обособление определений и приложений</w:t>
      </w:r>
      <w:r w:rsidR="00C6488F">
        <w:rPr>
          <w:rStyle w:val="s2"/>
          <w:b/>
          <w:bCs/>
          <w:color w:val="000000"/>
          <w:u w:val="single"/>
        </w:rPr>
        <w:t xml:space="preserve"> (7.3)</w:t>
      </w:r>
    </w:p>
    <w:p w:rsidR="00323BE1" w:rsidRDefault="00323BE1" w:rsidP="003A3CA9">
      <w:pPr>
        <w:pStyle w:val="p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1)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Согласованные определения и приложения обособляются,</w:t>
      </w:r>
    </w:p>
    <w:p w:rsidR="00323BE1" w:rsidRDefault="00323BE1" w:rsidP="003A3CA9">
      <w:pPr>
        <w:pStyle w:val="p7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если относятся к личному местоимению;</w:t>
      </w:r>
    </w:p>
    <w:p w:rsidR="00323BE1" w:rsidRDefault="00323BE1" w:rsidP="003A3CA9">
      <w:pPr>
        <w:pStyle w:val="p7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если стоят после определяемого существительного;</w:t>
      </w:r>
    </w:p>
    <w:p w:rsidR="00323BE1" w:rsidRDefault="00323BE1" w:rsidP="003A3CA9">
      <w:pPr>
        <w:pStyle w:val="p7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если имеют добавочное обстоятельственное значение причины или уступки.</w:t>
      </w:r>
    </w:p>
    <w:p w:rsidR="00323BE1" w:rsidRDefault="00323BE1" w:rsidP="003A3CA9">
      <w:pPr>
        <w:pStyle w:val="p8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2)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Одиночное приложение, стоящее после определяемого слова, пишется через дефис.</w:t>
      </w:r>
    </w:p>
    <w:p w:rsidR="000A208B" w:rsidRDefault="000A208B" w:rsidP="003A3CA9">
      <w:pPr>
        <w:pStyle w:val="p1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u w:val="single"/>
        </w:rPr>
      </w:pPr>
    </w:p>
    <w:p w:rsidR="000A208B" w:rsidRDefault="000A208B" w:rsidP="003A3CA9">
      <w:pPr>
        <w:pStyle w:val="p1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u w:val="single"/>
        </w:rPr>
      </w:pPr>
    </w:p>
    <w:p w:rsidR="00323BE1" w:rsidRDefault="00323BE1" w:rsidP="003A3CA9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s2"/>
          <w:b/>
          <w:bCs/>
          <w:color w:val="000000"/>
          <w:u w:val="single"/>
        </w:rPr>
        <w:t>Тема №3. Обособление обстоятельств</w:t>
      </w:r>
      <w:r w:rsidR="00C6488F">
        <w:rPr>
          <w:rStyle w:val="s2"/>
          <w:b/>
          <w:bCs/>
          <w:color w:val="000000"/>
          <w:u w:val="single"/>
        </w:rPr>
        <w:t xml:space="preserve"> (7.4)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1)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Всегда обособляются обстоятельства: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 xml:space="preserve"> - если они выражены деепричастными оборотами и одиночными деепричастиями.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color w:val="000000"/>
        </w:rPr>
        <w:t>- если выражены существительными с предлогами НЕСМОТРЯ НА, НЕВЗИРАЯ НА.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2)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Не обособляются: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1.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Одиночные деепричастия, близкие по значению к наречиям образа действия.</w:t>
      </w:r>
    </w:p>
    <w:p w:rsidR="00323BE1" w:rsidRDefault="00323BE1" w:rsidP="003A3CA9">
      <w:pPr>
        <w:pStyle w:val="p4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</w:rPr>
      </w:pPr>
      <w:r>
        <w:rPr>
          <w:rStyle w:val="s3"/>
          <w:color w:val="000000"/>
        </w:rPr>
        <w:t>2.</w:t>
      </w:r>
      <w:r>
        <w:rPr>
          <w:rStyle w:val="s3"/>
          <w:rFonts w:ascii="Cambria Math" w:hAnsi="Cambria Math" w:cs="Cambria Math"/>
          <w:color w:val="000000"/>
        </w:rPr>
        <w:t>​</w:t>
      </w:r>
      <w:r>
        <w:rPr>
          <w:rStyle w:val="s3"/>
          <w:color w:val="000000"/>
        </w:rPr>
        <w:t> </w:t>
      </w:r>
      <w:r>
        <w:rPr>
          <w:color w:val="000000"/>
        </w:rPr>
        <w:t>Фразеологические сочетания, в состав которых входят деепричастия.</w:t>
      </w:r>
    </w:p>
    <w:p w:rsidR="00323BE1" w:rsidRPr="000A208B" w:rsidRDefault="00323BE1" w:rsidP="003A3CA9">
      <w:pPr>
        <w:pStyle w:val="p1"/>
        <w:shd w:val="clear" w:color="auto" w:fill="FFFFFF"/>
        <w:jc w:val="both"/>
        <w:rPr>
          <w:color w:val="000000"/>
          <w:u w:val="single"/>
        </w:rPr>
      </w:pPr>
      <w:r w:rsidRPr="000A208B">
        <w:rPr>
          <w:rStyle w:val="s1"/>
          <w:b/>
          <w:bCs/>
          <w:color w:val="000000"/>
          <w:u w:val="single"/>
        </w:rPr>
        <w:t>Тема № 4 – «Сложное предложение»</w:t>
      </w:r>
      <w:bookmarkStart w:id="0" w:name="_GoBack"/>
      <w:bookmarkEnd w:id="0"/>
      <w:r w:rsidR="00C6488F">
        <w:rPr>
          <w:rStyle w:val="s1"/>
          <w:b/>
          <w:bCs/>
          <w:color w:val="000000"/>
          <w:u w:val="single"/>
        </w:rPr>
        <w:t xml:space="preserve"> (5.8, 7.11-7.12)</w:t>
      </w:r>
    </w:p>
    <w:p w:rsidR="00323BE1" w:rsidRDefault="00323BE1" w:rsidP="003A3CA9">
      <w:pPr>
        <w:pStyle w:val="p4"/>
        <w:shd w:val="clear" w:color="auto" w:fill="FFFFFF"/>
        <w:ind w:left="720" w:hanging="360"/>
        <w:jc w:val="both"/>
        <w:rPr>
          <w:color w:val="000000"/>
        </w:rPr>
      </w:pPr>
      <w:r>
        <w:rPr>
          <w:rStyle w:val="s2"/>
          <w:color w:val="000000"/>
        </w:rPr>
        <w:t>1.</w:t>
      </w:r>
      <w:r>
        <w:rPr>
          <w:rStyle w:val="s2"/>
          <w:rFonts w:ascii="Cambria Math" w:hAnsi="Cambria Math" w:cs="Cambria Math"/>
          <w:color w:val="000000"/>
        </w:rPr>
        <w:t>​</w:t>
      </w:r>
      <w:r>
        <w:rPr>
          <w:rStyle w:val="s2"/>
          <w:color w:val="000000"/>
        </w:rPr>
        <w:t> </w:t>
      </w:r>
      <w:r>
        <w:rPr>
          <w:rStyle w:val="s3"/>
          <w:i/>
          <w:iCs/>
          <w:color w:val="000000"/>
          <w:u w:val="single"/>
        </w:rPr>
        <w:t>Запятая в сложносочиненном предложении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ставится на границе простых предложений (чаще всего перед сочинительным союзом или перед второй его частью) и НЕ ставится, если есть общий второстепенный член.</w:t>
      </w:r>
    </w:p>
    <w:p w:rsidR="00323BE1" w:rsidRDefault="00323BE1" w:rsidP="003A3CA9">
      <w:pPr>
        <w:pStyle w:val="p4"/>
        <w:shd w:val="clear" w:color="auto" w:fill="FFFFFF"/>
        <w:ind w:left="720" w:hanging="360"/>
        <w:jc w:val="both"/>
        <w:rPr>
          <w:color w:val="000000"/>
        </w:rPr>
      </w:pPr>
      <w:r>
        <w:rPr>
          <w:color w:val="000000"/>
        </w:rPr>
        <w:t xml:space="preserve"> 2. </w:t>
      </w:r>
      <w:r>
        <w:rPr>
          <w:rStyle w:val="s3"/>
          <w:color w:val="000000"/>
          <w:u w:val="single"/>
        </w:rPr>
        <w:t xml:space="preserve">Запятая в </w:t>
      </w:r>
      <w:r w:rsidRPr="008723A4">
        <w:rPr>
          <w:color w:val="000000"/>
          <w:u w:val="single"/>
        </w:rPr>
        <w:t>сложноподчиненном</w:t>
      </w:r>
      <w:r w:rsidRPr="008723A4">
        <w:rPr>
          <w:rStyle w:val="s3"/>
          <w:color w:val="000000"/>
          <w:u w:val="single"/>
        </w:rPr>
        <w:t xml:space="preserve"> </w:t>
      </w:r>
      <w:r>
        <w:rPr>
          <w:rStyle w:val="s3"/>
          <w:color w:val="000000"/>
          <w:u w:val="single"/>
        </w:rPr>
        <w:t>предложении (в том числе с несколькими придаточными) и в сложной синтаксической конструкции ставится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на границах простых предложений и </w:t>
      </w:r>
      <w:r>
        <w:rPr>
          <w:rStyle w:val="s3"/>
          <w:color w:val="000000"/>
          <w:u w:val="single"/>
        </w:rPr>
        <w:t xml:space="preserve">НЕ ставится: </w:t>
      </w:r>
    </w:p>
    <w:p w:rsidR="00323BE1" w:rsidRDefault="00323BE1" w:rsidP="003A3CA9">
      <w:pPr>
        <w:pStyle w:val="p4"/>
        <w:shd w:val="clear" w:color="auto" w:fill="FFFFFF"/>
        <w:ind w:left="720" w:hanging="360"/>
        <w:jc w:val="both"/>
        <w:rPr>
          <w:color w:val="000000"/>
        </w:rPr>
      </w:pPr>
      <w:r>
        <w:rPr>
          <w:rStyle w:val="s2"/>
          <w:color w:val="000000"/>
        </w:rPr>
        <w:t>1)</w:t>
      </w:r>
      <w:r>
        <w:rPr>
          <w:rStyle w:val="s2"/>
          <w:rFonts w:ascii="Cambria Math" w:hAnsi="Cambria Math" w:cs="Cambria Math"/>
          <w:color w:val="000000"/>
        </w:rPr>
        <w:t>​</w:t>
      </w:r>
      <w:r>
        <w:rPr>
          <w:rStyle w:val="s2"/>
          <w:color w:val="000000"/>
        </w:rPr>
        <w:t> </w:t>
      </w:r>
      <w:r>
        <w:rPr>
          <w:color w:val="000000"/>
        </w:rPr>
        <w:t>на стыке двух союзов, если далее идет вторая часть союза – «то», «так», «но»;</w:t>
      </w:r>
    </w:p>
    <w:p w:rsidR="00323BE1" w:rsidRDefault="00323BE1" w:rsidP="003A3CA9">
      <w:pPr>
        <w:pStyle w:val="p4"/>
        <w:shd w:val="clear" w:color="auto" w:fill="FFFFFF"/>
        <w:ind w:left="720" w:hanging="360"/>
        <w:jc w:val="both"/>
        <w:rPr>
          <w:color w:val="000000"/>
        </w:rPr>
      </w:pPr>
      <w:r>
        <w:rPr>
          <w:rStyle w:val="s2"/>
          <w:color w:val="000000"/>
        </w:rPr>
        <w:t>2)</w:t>
      </w:r>
      <w:r>
        <w:rPr>
          <w:rStyle w:val="s2"/>
          <w:rFonts w:ascii="Cambria Math" w:hAnsi="Cambria Math" w:cs="Cambria Math"/>
          <w:color w:val="000000"/>
        </w:rPr>
        <w:t>​</w:t>
      </w:r>
      <w:r>
        <w:rPr>
          <w:rStyle w:val="s2"/>
          <w:color w:val="000000"/>
        </w:rPr>
        <w:t> </w:t>
      </w:r>
      <w:r>
        <w:rPr>
          <w:color w:val="000000"/>
        </w:rPr>
        <w:t>между двумя однородными придаточными, если они соединены одиночными союзами «и», «или», «либо».</w:t>
      </w:r>
    </w:p>
    <w:p w:rsidR="00023BCA" w:rsidRDefault="00023BCA"/>
    <w:sectPr w:rsidR="00023BCA" w:rsidSect="00023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BE1"/>
    <w:rsid w:val="00023BCA"/>
    <w:rsid w:val="000A208B"/>
    <w:rsid w:val="00323BE1"/>
    <w:rsid w:val="003A3CA9"/>
    <w:rsid w:val="005C63C6"/>
    <w:rsid w:val="00B33CC8"/>
    <w:rsid w:val="00C6488F"/>
    <w:rsid w:val="00DB0287"/>
    <w:rsid w:val="00E5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23BE1"/>
  </w:style>
  <w:style w:type="paragraph" w:customStyle="1" w:styleId="p2">
    <w:name w:val="p2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23BE1"/>
  </w:style>
  <w:style w:type="character" w:customStyle="1" w:styleId="apple-converted-space">
    <w:name w:val="apple-converted-space"/>
    <w:basedOn w:val="a0"/>
    <w:rsid w:val="00323BE1"/>
  </w:style>
  <w:style w:type="paragraph" w:customStyle="1" w:styleId="p4">
    <w:name w:val="p4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23BE1"/>
  </w:style>
  <w:style w:type="paragraph" w:customStyle="1" w:styleId="p7">
    <w:name w:val="p7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323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adb2611</dc:creator>
  <cp:keywords/>
  <dc:description/>
  <cp:lastModifiedBy>учитель</cp:lastModifiedBy>
  <cp:revision>5</cp:revision>
  <dcterms:created xsi:type="dcterms:W3CDTF">2015-08-24T08:29:00Z</dcterms:created>
  <dcterms:modified xsi:type="dcterms:W3CDTF">2018-01-16T10:40:00Z</dcterms:modified>
</cp:coreProperties>
</file>